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-1143000</wp:posOffset>
            </wp:positionH>
            <wp:positionV relativeFrom="paragraph">
              <wp:posOffset>-904875</wp:posOffset>
            </wp:positionV>
            <wp:extent cx="7559040" cy="10696575"/>
            <wp:effectExtent l="19050" t="0" r="3810" b="0"/>
            <wp:wrapNone/>
            <wp:docPr id="1" name="图片 0" descr="瑞华信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瑞华信纸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>
      <w:pPr>
        <w:widowControl/>
        <w:jc w:val="center"/>
        <w:rPr>
          <w:rFonts w:ascii="华文琥珀" w:hAnsi="黑体" w:eastAsia="华文琥珀"/>
          <w:bCs/>
          <w:kern w:val="0"/>
          <w:sz w:val="36"/>
          <w:szCs w:val="36"/>
        </w:rPr>
      </w:pPr>
      <w:bookmarkStart w:id="0" w:name="OLE_LINK1"/>
      <w:r>
        <w:rPr>
          <w:rFonts w:hint="eastAsia" w:ascii="华文琥珀" w:hAnsi="黑体" w:eastAsia="华文琥珀" w:cs="宋体"/>
          <w:bCs/>
          <w:kern w:val="0"/>
          <w:sz w:val="36"/>
          <w:szCs w:val="36"/>
        </w:rPr>
        <w:t>瑞华会计师事务所</w:t>
      </w:r>
      <w:bookmarkEnd w:id="0"/>
      <w:r>
        <w:rPr>
          <w:rFonts w:hint="eastAsia" w:ascii="华文琥珀" w:hAnsi="黑体" w:eastAsia="华文琥珀" w:cs="宋体"/>
          <w:bCs/>
          <w:kern w:val="0"/>
          <w:sz w:val="36"/>
          <w:szCs w:val="36"/>
        </w:rPr>
        <w:t>201</w:t>
      </w:r>
      <w:r>
        <w:rPr>
          <w:rFonts w:ascii="华文琥珀" w:hAnsi="黑体" w:eastAsia="华文琥珀" w:cs="宋体"/>
          <w:bCs/>
          <w:kern w:val="0"/>
          <w:sz w:val="36"/>
          <w:szCs w:val="36"/>
        </w:rPr>
        <w:t>7</w:t>
      </w:r>
      <w:r>
        <w:rPr>
          <w:rFonts w:hint="eastAsia" w:ascii="华文琥珀" w:hAnsi="黑体" w:eastAsia="华文琥珀" w:cs="宋体"/>
          <w:bCs/>
          <w:kern w:val="0"/>
          <w:sz w:val="36"/>
          <w:szCs w:val="36"/>
        </w:rPr>
        <w:t>校园招聘季开始啦！！！</w:t>
      </w:r>
    </w:p>
    <w:p>
      <w:pPr>
        <w:spacing w:line="4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瑞华会计师事务所（特殊普通合伙）是一家专业化、规模化、国际化的专业服务机构，是我国第一批被授予A+H股审计资格、第一批完成特殊普通合伙转制的会计师事务所，系美国PCAOB（公众公司会计监督委员会）登记机构。在中国注册会计师协会发布的《2015年会计师事务所综合评价前百家信息》中，瑞华会计师事务所名列全国第四位、本土所第一名，是我国最大的民族品牌会计师事务所。</w:t>
      </w:r>
    </w:p>
    <w:p>
      <w:pPr>
        <w:spacing w:line="400" w:lineRule="exact"/>
        <w:ind w:firstLine="560" w:firstLineChars="200"/>
        <w:rPr>
          <w:rFonts w:ascii="仿宋" w:hAnsi="仿宋" w:eastAsia="仿宋"/>
          <w:sz w:val="28"/>
          <w:szCs w:val="28"/>
        </w:rPr>
      </w:pPr>
      <w:bookmarkStart w:id="1" w:name="_GoBack"/>
      <w:r>
        <w:rPr>
          <w:rFonts w:hint="eastAsia" w:ascii="仿宋" w:hAnsi="仿宋" w:eastAsia="仿宋"/>
          <w:sz w:val="28"/>
          <w:szCs w:val="28"/>
        </w:rPr>
        <w:t>瑞华总部设在中国北京，在全国设有天津、上海、深圳、重庆、</w:t>
      </w:r>
      <w:bookmarkEnd w:id="1"/>
      <w:r>
        <w:rPr>
          <w:rFonts w:hint="eastAsia" w:ascii="仿宋" w:hAnsi="仿宋" w:eastAsia="仿宋"/>
          <w:sz w:val="28"/>
          <w:szCs w:val="28"/>
        </w:rPr>
        <w:t>等40家分所，执业网络完善。具有雄厚的专业技术力量，凝聚了一大批具备深厚专业素养、丰富实践经验、良好沟通能力及团队精神的行业精英。事务所现有从业人员9000多名、注册会计师2200名、合伙人338名、全国会计领军人才20名，多人担任财政部、证监会、国资委、中国注册会计师协会等机构的专家委员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瑞华拥有丰富的战略伙伴资源，包括国家电网、航天科工、中远集团、东风汽车、国旅集团、国家核电等40多家国务院国资委直属中央企业；中船重工、华谊兄弟、海信电器等340余家上市公司；鞍钢股份、大唐国际、中新药业、哈动力、东北电气等多家A+H股、A+S股企业。客户遍布制造、采掘、电力、水利、交通、航运、房地产、建筑、农林、教育、医药、信息、新闻出版、文化娱乐、银行保险等行业，具有丰富的执业经验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瑞华所秉持“诚信、专业、责任、创新”精神，以高起点谋划全局、高标准开展工作、高水平推动发展、高要求砥砺精神，专业报国、服务社会、成就员工，为中国注册会计师行业提供专业领跑的力量。</w:t>
      </w:r>
    </w:p>
    <w:p>
      <w:pPr>
        <w:spacing w:line="460" w:lineRule="exact"/>
        <w:ind w:firstLine="640" w:firstLineChars="200"/>
        <w:rPr>
          <w:rFonts w:ascii="华文琥珀" w:hAnsi="仿宋" w:eastAsia="华文琥珀"/>
          <w:color w:val="C00000"/>
          <w:sz w:val="32"/>
          <w:szCs w:val="32"/>
        </w:rPr>
      </w:pPr>
    </w:p>
    <w:p>
      <w:pPr>
        <w:spacing w:line="460" w:lineRule="exact"/>
        <w:ind w:firstLine="640" w:firstLineChars="200"/>
        <w:rPr>
          <w:rFonts w:ascii="华文琥珀" w:hAnsi="仿宋" w:eastAsia="华文琥珀"/>
          <w:color w:val="C00000"/>
          <w:sz w:val="32"/>
          <w:szCs w:val="32"/>
        </w:rPr>
      </w:pPr>
      <w:r>
        <w:rPr>
          <w:rFonts w:hint="eastAsia" w:ascii="华文琥珀" w:hAnsi="仿宋" w:eastAsia="华文琥珀"/>
          <w:color w:val="C00000"/>
          <w:sz w:val="32"/>
          <w:szCs w:val="32"/>
        </w:rPr>
        <w:t>如果你想成为未来财务精英，喜欢新鲜、热爱挑战、富有活力就赶快加入我们吧！</w:t>
      </w:r>
    </w:p>
    <w:p>
      <w:pPr>
        <w:spacing w:line="440" w:lineRule="exact"/>
        <w:ind w:right="105" w:rightChars="50" w:firstLine="562" w:firstLineChars="200"/>
        <w:rPr>
          <w:rFonts w:ascii="仿宋_GB2312" w:hAnsi="宋体" w:eastAsia="仿宋_GB2312" w:cs="宋体"/>
          <w:b/>
          <w:sz w:val="28"/>
          <w:szCs w:val="28"/>
        </w:rPr>
      </w:pPr>
    </w:p>
    <w:p>
      <w:pPr>
        <w:spacing w:line="440" w:lineRule="exact"/>
        <w:ind w:right="105" w:rightChars="50" w:firstLine="560" w:firstLineChars="200"/>
        <w:rPr>
          <w:rFonts w:ascii="仿宋_GB2312" w:hAnsi="楷体" w:eastAsia="仿宋_GB2312"/>
          <w:sz w:val="28"/>
          <w:szCs w:val="28"/>
        </w:rPr>
      </w:pPr>
      <w:r>
        <w:rPr>
          <w:rFonts w:hint="eastAsia" w:ascii="华文琥珀" w:hAnsi="宋体" w:eastAsia="华文琥珀" w:cs="宋体"/>
          <w:sz w:val="28"/>
          <w:szCs w:val="28"/>
        </w:rPr>
        <w:t>网申通道:</w:t>
      </w:r>
      <w:r>
        <w:fldChar w:fldCharType="begin"/>
      </w:r>
      <w:r>
        <w:instrText xml:space="preserve"> HYPERLINK "http://job.rhcncpa.com/campusjob" </w:instrText>
      </w:r>
      <w:r>
        <w:fldChar w:fldCharType="separate"/>
      </w:r>
      <w:r>
        <w:rPr>
          <w:rStyle w:val="7"/>
          <w:rFonts w:ascii="Franklin Gothic Medium" w:hAnsi="Franklin Gothic Medium" w:eastAsia="华文琥珀"/>
          <w:sz w:val="28"/>
          <w:szCs w:val="28"/>
        </w:rPr>
        <w:t>http://job.rhcncpa.com/campusjob</w:t>
      </w:r>
      <w:r>
        <w:rPr>
          <w:rStyle w:val="7"/>
          <w:rFonts w:ascii="Franklin Gothic Medium" w:hAnsi="Franklin Gothic Medium" w:eastAsia="华文琥珀"/>
          <w:sz w:val="28"/>
          <w:szCs w:val="28"/>
        </w:rPr>
        <w:fldChar w:fldCharType="end"/>
      </w:r>
    </w:p>
    <w:p/>
    <w:p/>
    <w:p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-1139190</wp:posOffset>
            </wp:positionH>
            <wp:positionV relativeFrom="paragraph">
              <wp:posOffset>-908685</wp:posOffset>
            </wp:positionV>
            <wp:extent cx="7559040" cy="10696575"/>
            <wp:effectExtent l="0" t="0" r="0" b="0"/>
            <wp:wrapNone/>
            <wp:docPr id="2" name="图片 0" descr="瑞华信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0" descr="瑞华信纸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>
      <w:pPr>
        <w:rPr>
          <w:rFonts w:ascii="华文琥珀" w:hAnsi="仿宋" w:eastAsia="华文琥珀"/>
          <w:color w:val="C00000"/>
          <w:sz w:val="32"/>
          <w:szCs w:val="32"/>
        </w:rPr>
      </w:pPr>
      <w:r>
        <w:rPr>
          <w:rFonts w:hint="eastAsia" w:ascii="华文琥珀" w:hAnsi="仿宋" w:eastAsia="华文琥珀"/>
          <w:color w:val="C00000"/>
          <w:sz w:val="32"/>
          <w:szCs w:val="32"/>
        </w:rPr>
        <w:t>招聘职位：</w:t>
      </w:r>
    </w:p>
    <w:p>
      <w:pPr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1.审计助理</w:t>
      </w:r>
    </w:p>
    <w:tbl>
      <w:tblPr>
        <w:tblStyle w:val="12"/>
        <w:tblpPr w:leftFromText="180" w:rightFromText="180" w:vertAnchor="text" w:horzAnchor="margin" w:tblpXSpec="center" w:tblpY="173"/>
        <w:tblW w:w="8092" w:type="dxa"/>
        <w:tblInd w:w="0" w:type="dxa"/>
        <w:tblBorders>
          <w:top w:val="single" w:color="EDC9C9" w:themeColor="accent6" w:themeTint="BF" w:sz="8" w:space="0"/>
          <w:left w:val="single" w:color="EDC9C9" w:themeColor="accent6" w:themeTint="BF" w:sz="8" w:space="0"/>
          <w:bottom w:val="single" w:color="EDC9C9" w:themeColor="accent6" w:themeTint="BF" w:sz="8" w:space="0"/>
          <w:right w:val="single" w:color="EDC9C9" w:themeColor="accent6" w:themeTint="BF" w:sz="8" w:space="0"/>
          <w:insideH w:val="single" w:color="EDC9C9" w:themeColor="accent6" w:themeTint="BF" w:sz="8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858"/>
        <w:gridCol w:w="1858"/>
        <w:gridCol w:w="1858"/>
      </w:tblGrid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2518" w:type="dxa"/>
            <w:tcBorders>
              <w:top w:val="single" w:color="EDC9C9" w:themeColor="accent6" w:themeTint="BF" w:sz="8" w:space="0"/>
              <w:left w:val="single" w:color="EDC9C9" w:themeColor="accent6" w:themeTint="BF" w:sz="8" w:space="0"/>
              <w:bottom w:val="single" w:color="EDC9C9" w:themeColor="accent6" w:themeTint="BF" w:sz="8" w:space="0"/>
              <w:right w:val="nil"/>
              <w:insideH w:val="single" w:sz="8" w:space="0"/>
              <w:insideV w:val="nil"/>
            </w:tcBorders>
            <w:shd w:val="clear" w:color="auto" w:fill="E8B7B7" w:themeFill="accent6"/>
          </w:tcPr>
          <w:p>
            <w:pPr>
              <w:spacing w:before="0" w:after="0" w:line="500" w:lineRule="exact"/>
              <w:jc w:val="center"/>
              <w:rPr>
                <w:rFonts w:ascii="仿宋" w:hAnsi="仿宋" w:eastAsia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kern w:val="0"/>
                <w:sz w:val="24"/>
                <w:szCs w:val="24"/>
              </w:rPr>
              <w:t>分支机构名称</w:t>
            </w:r>
          </w:p>
        </w:tc>
        <w:tc>
          <w:tcPr>
            <w:tcW w:w="1858" w:type="dxa"/>
            <w:tcBorders>
              <w:top w:val="single" w:color="EDC9C9" w:themeColor="accent6" w:themeTint="BF" w:sz="8" w:space="0"/>
              <w:bottom w:val="single" w:color="EDC9C9" w:themeColor="accent6" w:themeTint="BF" w:sz="8" w:space="0"/>
              <w:right w:val="nil"/>
              <w:insideH w:val="single" w:sz="8" w:space="0"/>
              <w:insideV w:val="nil"/>
            </w:tcBorders>
            <w:shd w:val="clear" w:color="auto" w:fill="E8B7B7" w:themeFill="accent6"/>
          </w:tcPr>
          <w:p>
            <w:pPr>
              <w:spacing w:before="0" w:after="0" w:line="500" w:lineRule="exact"/>
              <w:jc w:val="center"/>
              <w:rPr>
                <w:rFonts w:ascii="仿宋" w:hAnsi="仿宋" w:eastAsia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1858" w:type="dxa"/>
            <w:tcBorders>
              <w:top w:val="single" w:color="EDC9C9" w:themeColor="accent6" w:themeTint="BF" w:sz="8" w:space="0"/>
              <w:bottom w:val="single" w:color="EDC9C9" w:themeColor="accent6" w:themeTint="BF" w:sz="8" w:space="0"/>
              <w:right w:val="nil"/>
              <w:insideH w:val="single" w:sz="8" w:space="0"/>
              <w:insideV w:val="nil"/>
            </w:tcBorders>
            <w:shd w:val="clear" w:color="auto" w:fill="E8B7B7" w:themeFill="accent6"/>
          </w:tcPr>
          <w:p>
            <w:pPr>
              <w:spacing w:before="0" w:after="0" w:line="500" w:lineRule="exact"/>
              <w:jc w:val="center"/>
              <w:rPr>
                <w:rFonts w:ascii="仿宋" w:hAnsi="仿宋" w:eastAsia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kern w:val="0"/>
                <w:sz w:val="24"/>
                <w:szCs w:val="24"/>
              </w:rPr>
              <w:t>分支机构名称</w:t>
            </w:r>
          </w:p>
        </w:tc>
        <w:tc>
          <w:tcPr>
            <w:tcW w:w="1858" w:type="dxa"/>
            <w:tcBorders>
              <w:top w:val="single" w:color="EDC9C9" w:themeColor="accent6" w:themeTint="BF" w:sz="8" w:space="0"/>
              <w:bottom w:val="single" w:color="EDC9C9" w:themeColor="accent6" w:themeTint="BF" w:sz="8" w:space="0"/>
              <w:right w:val="single" w:color="EDC9C9" w:themeColor="accent6" w:themeTint="BF" w:sz="8" w:space="0"/>
              <w:insideH w:val="single" w:sz="8" w:space="0"/>
              <w:insideV w:val="nil"/>
            </w:tcBorders>
            <w:shd w:val="clear" w:color="auto" w:fill="E8B7B7" w:themeFill="accent6"/>
          </w:tcPr>
          <w:p>
            <w:pPr>
              <w:spacing w:before="0" w:after="0" w:line="500" w:lineRule="exact"/>
              <w:jc w:val="center"/>
              <w:rPr>
                <w:rFonts w:ascii="仿宋" w:hAnsi="仿宋" w:eastAsia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kern w:val="0"/>
                <w:sz w:val="24"/>
                <w:szCs w:val="24"/>
              </w:rPr>
              <w:t>招聘人数</w:t>
            </w:r>
          </w:p>
        </w:tc>
      </w:tr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251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</w:rPr>
              <w:t>北京执业中心</w:t>
            </w:r>
          </w:p>
        </w:tc>
        <w:tc>
          <w:tcPr>
            <w:tcW w:w="185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5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大连分所</w:t>
            </w:r>
          </w:p>
        </w:tc>
        <w:tc>
          <w:tcPr>
            <w:tcW w:w="1858" w:type="dxa"/>
            <w:tcBorders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251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</w:rPr>
              <w:t>安徽分所</w:t>
            </w:r>
          </w:p>
        </w:tc>
        <w:tc>
          <w:tcPr>
            <w:tcW w:w="185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85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山东分所</w:t>
            </w:r>
          </w:p>
        </w:tc>
        <w:tc>
          <w:tcPr>
            <w:tcW w:w="1858" w:type="dxa"/>
            <w:tcBorders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106</w:t>
            </w:r>
          </w:p>
        </w:tc>
      </w:tr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251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</w:rPr>
              <w:t>佛山分所</w:t>
            </w:r>
          </w:p>
        </w:tc>
        <w:tc>
          <w:tcPr>
            <w:tcW w:w="185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5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 w:cs="宋体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  <w:highlight w:val="yellow"/>
              </w:rPr>
              <w:t>四川分所</w:t>
            </w:r>
          </w:p>
        </w:tc>
        <w:tc>
          <w:tcPr>
            <w:tcW w:w="1858" w:type="dxa"/>
            <w:tcBorders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highlight w:val="yellow"/>
              </w:rPr>
              <w:t>30</w:t>
            </w:r>
          </w:p>
        </w:tc>
      </w:tr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251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</w:rPr>
              <w:t>甘肃分所</w:t>
            </w:r>
          </w:p>
        </w:tc>
        <w:tc>
          <w:tcPr>
            <w:tcW w:w="185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85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深圳分所</w:t>
            </w:r>
          </w:p>
        </w:tc>
        <w:tc>
          <w:tcPr>
            <w:tcW w:w="1858" w:type="dxa"/>
            <w:tcBorders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354</w:t>
            </w:r>
          </w:p>
        </w:tc>
      </w:tr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251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</w:rPr>
              <w:t>广东分所</w:t>
            </w:r>
          </w:p>
        </w:tc>
        <w:tc>
          <w:tcPr>
            <w:tcW w:w="185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5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天津分所</w:t>
            </w:r>
          </w:p>
        </w:tc>
        <w:tc>
          <w:tcPr>
            <w:tcW w:w="1858" w:type="dxa"/>
            <w:tcBorders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65</w:t>
            </w:r>
          </w:p>
        </w:tc>
      </w:tr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251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</w:rPr>
              <w:t>广西分所</w:t>
            </w:r>
          </w:p>
        </w:tc>
        <w:tc>
          <w:tcPr>
            <w:tcW w:w="185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5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/>
                <w:b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color w:val="000000"/>
                <w:sz w:val="24"/>
                <w:szCs w:val="24"/>
              </w:rPr>
              <w:t>云南分所</w:t>
            </w:r>
          </w:p>
        </w:tc>
        <w:tc>
          <w:tcPr>
            <w:tcW w:w="1858" w:type="dxa"/>
            <w:tcBorders>
              <w:insideV w:val="nil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20</w:t>
            </w:r>
          </w:p>
        </w:tc>
      </w:tr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251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</w:rPr>
              <w:t>湖北分所</w:t>
            </w:r>
          </w:p>
        </w:tc>
        <w:tc>
          <w:tcPr>
            <w:tcW w:w="185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85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/>
                <w:b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color w:val="000000"/>
                <w:sz w:val="24"/>
                <w:szCs w:val="24"/>
              </w:rPr>
              <w:t>长春分所</w:t>
            </w:r>
          </w:p>
        </w:tc>
        <w:tc>
          <w:tcPr>
            <w:tcW w:w="1858" w:type="dxa"/>
            <w:tcBorders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40</w:t>
            </w:r>
          </w:p>
        </w:tc>
      </w:tr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251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</w:rPr>
              <w:t>湖南分所</w:t>
            </w:r>
          </w:p>
        </w:tc>
        <w:tc>
          <w:tcPr>
            <w:tcW w:w="185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5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/>
                <w:b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color w:val="000000"/>
                <w:sz w:val="24"/>
                <w:szCs w:val="24"/>
              </w:rPr>
              <w:t>浙江分所</w:t>
            </w:r>
          </w:p>
        </w:tc>
        <w:tc>
          <w:tcPr>
            <w:tcW w:w="1858" w:type="dxa"/>
            <w:tcBorders>
              <w:insideV w:val="nil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200</w:t>
            </w:r>
          </w:p>
        </w:tc>
      </w:tr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251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</w:rPr>
              <w:t>吉林分所</w:t>
            </w:r>
          </w:p>
        </w:tc>
        <w:tc>
          <w:tcPr>
            <w:tcW w:w="185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5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/>
                <w:b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color w:val="000000"/>
                <w:sz w:val="24"/>
                <w:szCs w:val="24"/>
              </w:rPr>
              <w:t>上海分所</w:t>
            </w:r>
          </w:p>
        </w:tc>
        <w:tc>
          <w:tcPr>
            <w:tcW w:w="1858" w:type="dxa"/>
            <w:tcBorders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100</w:t>
            </w:r>
          </w:p>
        </w:tc>
      </w:tr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251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</w:rPr>
              <w:t>辽宁分所</w:t>
            </w:r>
          </w:p>
        </w:tc>
        <w:tc>
          <w:tcPr>
            <w:tcW w:w="185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85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/>
                <w:b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color w:val="000000"/>
                <w:sz w:val="24"/>
                <w:szCs w:val="24"/>
              </w:rPr>
              <w:t>珠海分所</w:t>
            </w:r>
          </w:p>
        </w:tc>
        <w:tc>
          <w:tcPr>
            <w:tcW w:w="1858" w:type="dxa"/>
            <w:tcBorders>
              <w:insideV w:val="nil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20</w:t>
            </w:r>
          </w:p>
        </w:tc>
      </w:tr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251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</w:rPr>
              <w:t>宁波分所</w:t>
            </w:r>
          </w:p>
        </w:tc>
        <w:tc>
          <w:tcPr>
            <w:tcW w:w="185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5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青岛分所</w:t>
            </w:r>
          </w:p>
        </w:tc>
        <w:tc>
          <w:tcPr>
            <w:tcW w:w="1858" w:type="dxa"/>
            <w:tcBorders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46</w:t>
            </w:r>
          </w:p>
        </w:tc>
      </w:tr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251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  <w:t>黑龙江分所</w:t>
            </w:r>
          </w:p>
        </w:tc>
        <w:tc>
          <w:tcPr>
            <w:tcW w:w="185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color w:val="000000"/>
                <w:sz w:val="24"/>
                <w:szCs w:val="24"/>
              </w:rPr>
              <w:t>河南分所</w:t>
            </w:r>
          </w:p>
        </w:tc>
        <w:tc>
          <w:tcPr>
            <w:tcW w:w="1858" w:type="dxa"/>
            <w:tcBorders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30</w:t>
            </w:r>
          </w:p>
        </w:tc>
      </w:tr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251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  <w:t>江西分所</w:t>
            </w:r>
          </w:p>
        </w:tc>
        <w:tc>
          <w:tcPr>
            <w:tcW w:w="185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5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color w:val="000000"/>
                <w:sz w:val="24"/>
                <w:szCs w:val="24"/>
              </w:rPr>
              <w:t>陕西分所</w:t>
            </w:r>
          </w:p>
        </w:tc>
        <w:tc>
          <w:tcPr>
            <w:tcW w:w="1858" w:type="dxa"/>
            <w:tcBorders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30</w:t>
            </w:r>
          </w:p>
        </w:tc>
      </w:tr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51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  <w:t>重庆分所</w:t>
            </w:r>
          </w:p>
        </w:tc>
        <w:tc>
          <w:tcPr>
            <w:tcW w:w="185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5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</w:p>
        </w:tc>
        <w:tc>
          <w:tcPr>
            <w:tcW w:w="1858" w:type="dxa"/>
            <w:tcBorders>
              <w:insideV w:val="nil"/>
            </w:tcBorders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</w:p>
        </w:tc>
      </w:tr>
    </w:tbl>
    <w:p/>
    <w:p>
      <w:pPr>
        <w:rPr>
          <w:rFonts w:ascii="华文琥珀" w:hAnsi="仿宋" w:eastAsia="华文琥珀"/>
          <w:color w:val="C00000"/>
          <w:sz w:val="32"/>
          <w:szCs w:val="32"/>
        </w:rPr>
      </w:pPr>
      <w:r>
        <w:rPr>
          <w:rFonts w:hint="eastAsia" w:ascii="华文琥珀" w:hAnsi="仿宋" w:eastAsia="华文琥珀"/>
          <w:color w:val="C00000"/>
          <w:sz w:val="32"/>
          <w:szCs w:val="32"/>
        </w:rPr>
        <w:t>工作职责：</w:t>
      </w:r>
    </w:p>
    <w:p>
      <w:pPr>
        <w:spacing w:line="500" w:lineRule="exact"/>
        <w:ind w:firstLine="560" w:firstLineChars="200"/>
        <w:rPr>
          <w:rFonts w:ascii="华文琥珀" w:hAnsi="仿宋" w:eastAsia="华文琥珀"/>
          <w:color w:val="C0000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1.协助完成工作底稿的编制、整理和归档工作；</w:t>
      </w:r>
    </w:p>
    <w:p>
      <w:pPr>
        <w:spacing w:line="500" w:lineRule="exact"/>
        <w:ind w:firstLine="57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2.协助完成审计业务报告和其他鉴证业务报告；</w:t>
      </w:r>
    </w:p>
    <w:p>
      <w:pPr>
        <w:spacing w:line="500" w:lineRule="exact"/>
        <w:ind w:firstLine="57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3.领导交办的其他工作。</w:t>
      </w:r>
    </w:p>
    <w:p>
      <w:pPr>
        <w:rPr>
          <w:rFonts w:ascii="华文琥珀" w:hAnsi="仿宋" w:eastAsia="华文琥珀"/>
          <w:color w:val="C00000"/>
          <w:sz w:val="32"/>
          <w:szCs w:val="32"/>
        </w:rPr>
      </w:pPr>
      <w:r>
        <w:rPr>
          <w:rFonts w:hint="eastAsia" w:ascii="华文琥珀" w:hAnsi="仿宋" w:eastAsia="华文琥珀"/>
          <w:color w:val="C00000"/>
          <w:sz w:val="32"/>
          <w:szCs w:val="32"/>
        </w:rPr>
        <w:t>职位基本要求</w:t>
      </w:r>
    </w:p>
    <w:p>
      <w:pPr>
        <w:spacing w:line="50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1.财经类相关专业，本科以上学历，2017届应届毕业生；</w:t>
      </w:r>
    </w:p>
    <w:p>
      <w:pPr>
        <w:spacing w:line="50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2.热爱注册会计师行业，具有良好的敬业精神；</w:t>
      </w:r>
    </w:p>
    <w:p>
      <w:pPr>
        <w:spacing w:line="50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3.具有团队协作能力、能承受一定的工作压力；</w:t>
      </w:r>
    </w:p>
    <w:p>
      <w:pPr>
        <w:spacing w:line="50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4.具有注册会计师单科成绩合格者优先考虑。</w:t>
      </w:r>
    </w:p>
    <w:p>
      <w:pPr>
        <w:spacing w:line="50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</w:p>
    <w:p>
      <w: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-1143000</wp:posOffset>
            </wp:positionH>
            <wp:positionV relativeFrom="paragraph">
              <wp:posOffset>-904875</wp:posOffset>
            </wp:positionV>
            <wp:extent cx="7559040" cy="10696575"/>
            <wp:effectExtent l="0" t="0" r="0" b="0"/>
            <wp:wrapNone/>
            <wp:docPr id="6" name="图片 0" descr="瑞华信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0" descr="瑞华信纸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>
      <w:pPr>
        <w:rPr>
          <w:rFonts w:ascii="华文琥珀" w:hAnsi="仿宋" w:eastAsia="华文琥珀"/>
          <w:color w:val="C00000"/>
          <w:sz w:val="32"/>
          <w:szCs w:val="32"/>
        </w:rPr>
      </w:pPr>
    </w:p>
    <w:p>
      <w:pPr>
        <w:rPr>
          <w:rFonts w:ascii="华文琥珀" w:hAnsi="仿宋" w:eastAsia="华文琥珀"/>
          <w:color w:val="C00000"/>
          <w:sz w:val="32"/>
          <w:szCs w:val="32"/>
        </w:rPr>
      </w:pPr>
      <w:r>
        <w:rPr>
          <w:rFonts w:hint="eastAsia" w:ascii="华文琥珀" w:hAnsi="仿宋" w:eastAsia="华文琥珀"/>
          <w:color w:val="C00000"/>
          <w:sz w:val="32"/>
          <w:szCs w:val="32"/>
        </w:rPr>
        <w:t>招聘职位：</w:t>
      </w:r>
    </w:p>
    <w:p>
      <w:pPr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2.审计实习生</w:t>
      </w:r>
    </w:p>
    <w:tbl>
      <w:tblPr>
        <w:tblStyle w:val="12"/>
        <w:tblpPr w:leftFromText="180" w:rightFromText="180" w:vertAnchor="text" w:horzAnchor="margin" w:tblpXSpec="center" w:tblpY="173"/>
        <w:tblW w:w="8092" w:type="dxa"/>
        <w:tblInd w:w="0" w:type="dxa"/>
        <w:tblBorders>
          <w:top w:val="single" w:color="EDC9C9" w:themeColor="accent6" w:themeTint="BF" w:sz="8" w:space="0"/>
          <w:left w:val="single" w:color="EDC9C9" w:themeColor="accent6" w:themeTint="BF" w:sz="8" w:space="0"/>
          <w:bottom w:val="single" w:color="EDC9C9" w:themeColor="accent6" w:themeTint="BF" w:sz="8" w:space="0"/>
          <w:right w:val="single" w:color="EDC9C9" w:themeColor="accent6" w:themeTint="BF" w:sz="8" w:space="0"/>
          <w:insideH w:val="single" w:color="EDC9C9" w:themeColor="accent6" w:themeTint="BF" w:sz="8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858"/>
        <w:gridCol w:w="1858"/>
        <w:gridCol w:w="1858"/>
      </w:tblGrid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2518" w:type="dxa"/>
            <w:tcBorders>
              <w:top w:val="single" w:color="EDC9C9" w:themeColor="accent6" w:themeTint="BF" w:sz="8" w:space="0"/>
              <w:left w:val="single" w:color="EDC9C9" w:themeColor="accent6" w:themeTint="BF" w:sz="8" w:space="0"/>
              <w:bottom w:val="single" w:color="EDC9C9" w:themeColor="accent6" w:themeTint="BF" w:sz="8" w:space="0"/>
              <w:right w:val="nil"/>
              <w:insideH w:val="single" w:sz="8" w:space="0"/>
              <w:insideV w:val="nil"/>
            </w:tcBorders>
            <w:shd w:val="clear" w:color="auto" w:fill="E8B7B7" w:themeFill="accent6"/>
          </w:tcPr>
          <w:p>
            <w:pPr>
              <w:spacing w:before="0" w:after="0" w:line="500" w:lineRule="exact"/>
              <w:jc w:val="center"/>
              <w:rPr>
                <w:rFonts w:ascii="仿宋" w:hAnsi="仿宋" w:eastAsia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kern w:val="0"/>
                <w:sz w:val="24"/>
                <w:szCs w:val="24"/>
              </w:rPr>
              <w:t>分支机构名称</w:t>
            </w:r>
          </w:p>
        </w:tc>
        <w:tc>
          <w:tcPr>
            <w:tcW w:w="1858" w:type="dxa"/>
            <w:tcBorders>
              <w:top w:val="single" w:color="EDC9C9" w:themeColor="accent6" w:themeTint="BF" w:sz="8" w:space="0"/>
              <w:bottom w:val="single" w:color="EDC9C9" w:themeColor="accent6" w:themeTint="BF" w:sz="8" w:space="0"/>
              <w:right w:val="nil"/>
              <w:insideH w:val="single" w:sz="8" w:space="0"/>
              <w:insideV w:val="nil"/>
            </w:tcBorders>
            <w:shd w:val="clear" w:color="auto" w:fill="E8B7B7" w:themeFill="accent6"/>
          </w:tcPr>
          <w:p>
            <w:pPr>
              <w:spacing w:before="0" w:after="0" w:line="500" w:lineRule="exact"/>
              <w:jc w:val="center"/>
              <w:rPr>
                <w:rFonts w:ascii="仿宋" w:hAnsi="仿宋" w:eastAsia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1858" w:type="dxa"/>
            <w:tcBorders>
              <w:top w:val="single" w:color="EDC9C9" w:themeColor="accent6" w:themeTint="BF" w:sz="8" w:space="0"/>
              <w:bottom w:val="single" w:color="EDC9C9" w:themeColor="accent6" w:themeTint="BF" w:sz="8" w:space="0"/>
              <w:right w:val="nil"/>
              <w:insideH w:val="single" w:sz="8" w:space="0"/>
              <w:insideV w:val="nil"/>
            </w:tcBorders>
            <w:shd w:val="clear" w:color="auto" w:fill="E8B7B7" w:themeFill="accent6"/>
          </w:tcPr>
          <w:p>
            <w:pPr>
              <w:spacing w:before="0" w:after="0" w:line="500" w:lineRule="exact"/>
              <w:jc w:val="center"/>
              <w:rPr>
                <w:rFonts w:ascii="仿宋" w:hAnsi="仿宋" w:eastAsia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kern w:val="0"/>
                <w:sz w:val="24"/>
                <w:szCs w:val="24"/>
              </w:rPr>
              <w:t>分支机构名称</w:t>
            </w:r>
          </w:p>
        </w:tc>
        <w:tc>
          <w:tcPr>
            <w:tcW w:w="1858" w:type="dxa"/>
            <w:tcBorders>
              <w:top w:val="single" w:color="EDC9C9" w:themeColor="accent6" w:themeTint="BF" w:sz="8" w:space="0"/>
              <w:bottom w:val="single" w:color="EDC9C9" w:themeColor="accent6" w:themeTint="BF" w:sz="8" w:space="0"/>
              <w:right w:val="single" w:color="EDC9C9" w:themeColor="accent6" w:themeTint="BF" w:sz="8" w:space="0"/>
              <w:insideH w:val="single" w:sz="8" w:space="0"/>
              <w:insideV w:val="nil"/>
            </w:tcBorders>
            <w:shd w:val="clear" w:color="auto" w:fill="E8B7B7" w:themeFill="accent6"/>
          </w:tcPr>
          <w:p>
            <w:pPr>
              <w:spacing w:before="0" w:after="0" w:line="500" w:lineRule="exact"/>
              <w:jc w:val="center"/>
              <w:rPr>
                <w:rFonts w:ascii="仿宋" w:hAnsi="仿宋" w:eastAsia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kern w:val="0"/>
                <w:sz w:val="24"/>
                <w:szCs w:val="24"/>
              </w:rPr>
              <w:t>招聘人数</w:t>
            </w:r>
          </w:p>
        </w:tc>
      </w:tr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251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  <w:t>北京执业中心</w:t>
            </w:r>
          </w:p>
        </w:tc>
        <w:tc>
          <w:tcPr>
            <w:tcW w:w="185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广西分所</w:t>
            </w:r>
          </w:p>
        </w:tc>
        <w:tc>
          <w:tcPr>
            <w:tcW w:w="1858" w:type="dxa"/>
            <w:tcBorders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251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  <w:t>大连分所</w:t>
            </w:r>
          </w:p>
        </w:tc>
        <w:tc>
          <w:tcPr>
            <w:tcW w:w="185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辽宁分所</w:t>
            </w:r>
          </w:p>
        </w:tc>
        <w:tc>
          <w:tcPr>
            <w:tcW w:w="1858" w:type="dxa"/>
            <w:tcBorders>
              <w:insideV w:val="nil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60</w:t>
            </w:r>
          </w:p>
        </w:tc>
      </w:tr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251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  <w:t>宁波分所</w:t>
            </w:r>
          </w:p>
        </w:tc>
        <w:tc>
          <w:tcPr>
            <w:tcW w:w="185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5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  <w:highlight w:val="yellow"/>
              </w:rPr>
              <w:t>四川分所</w:t>
            </w:r>
          </w:p>
        </w:tc>
        <w:tc>
          <w:tcPr>
            <w:tcW w:w="1858" w:type="dxa"/>
            <w:tcBorders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highlight w:val="yellow"/>
              </w:rPr>
              <w:t>50</w:t>
            </w:r>
          </w:p>
        </w:tc>
      </w:tr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251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  <w:t>天津分所</w:t>
            </w:r>
          </w:p>
        </w:tc>
        <w:tc>
          <w:tcPr>
            <w:tcW w:w="185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云南分所</w:t>
            </w:r>
          </w:p>
        </w:tc>
        <w:tc>
          <w:tcPr>
            <w:tcW w:w="1858" w:type="dxa"/>
            <w:tcBorders>
              <w:insideV w:val="nil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30</w:t>
            </w:r>
          </w:p>
        </w:tc>
      </w:tr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251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</w:rPr>
              <w:t>黑龙江分所</w:t>
            </w:r>
          </w:p>
        </w:tc>
        <w:tc>
          <w:tcPr>
            <w:tcW w:w="185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  <w:tcBorders>
              <w:right w:val="nil"/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/>
                <w:b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color w:val="000000"/>
                <w:sz w:val="24"/>
                <w:szCs w:val="24"/>
              </w:rPr>
              <w:t>陕西分所</w:t>
            </w:r>
          </w:p>
        </w:tc>
        <w:tc>
          <w:tcPr>
            <w:tcW w:w="1858" w:type="dxa"/>
            <w:tcBorders>
              <w:insideV w:val="nil"/>
            </w:tcBorders>
            <w:shd w:val="clear" w:color="auto" w:fill="F9EDED" w:themeFill="accent6" w:themeFillTint="3F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20</w:t>
            </w:r>
          </w:p>
        </w:tc>
      </w:tr>
      <w:tr>
        <w:tblPrEx>
          <w:tblBorders>
            <w:top w:val="single" w:color="EDC9C9" w:themeColor="accent6" w:themeTint="BF" w:sz="8" w:space="0"/>
            <w:left w:val="single" w:color="EDC9C9" w:themeColor="accent6" w:themeTint="BF" w:sz="8" w:space="0"/>
            <w:bottom w:val="single" w:color="EDC9C9" w:themeColor="accent6" w:themeTint="BF" w:sz="8" w:space="0"/>
            <w:right w:val="single" w:color="EDC9C9" w:themeColor="accent6" w:themeTint="BF" w:sz="8" w:space="0"/>
            <w:insideH w:val="single" w:color="EDC9C9" w:themeColor="accent6" w:themeTint="BF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251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</w:rPr>
              <w:t>山东分所</w:t>
            </w:r>
          </w:p>
        </w:tc>
        <w:tc>
          <w:tcPr>
            <w:tcW w:w="185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58" w:type="dxa"/>
            <w:tcBorders>
              <w:right w:val="nil"/>
              <w:insideV w:val="nil"/>
            </w:tcBorders>
          </w:tcPr>
          <w:p>
            <w:pPr>
              <w:jc w:val="center"/>
              <w:rPr>
                <w:rFonts w:ascii="仿宋" w:hAnsi="仿宋" w:eastAsia="仿宋"/>
                <w:b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color w:val="000000"/>
                <w:sz w:val="24"/>
                <w:szCs w:val="24"/>
              </w:rPr>
              <w:t>深圳分所</w:t>
            </w:r>
          </w:p>
        </w:tc>
        <w:tc>
          <w:tcPr>
            <w:tcW w:w="1858" w:type="dxa"/>
            <w:tcBorders>
              <w:insideV w:val="nil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27</w:t>
            </w:r>
          </w:p>
        </w:tc>
      </w:tr>
    </w:tbl>
    <w:p>
      <w:pPr>
        <w:rPr>
          <w:rFonts w:ascii="华文琥珀" w:hAnsi="仿宋" w:eastAsia="华文琥珀"/>
          <w:color w:val="C00000"/>
          <w:sz w:val="32"/>
          <w:szCs w:val="32"/>
        </w:rPr>
      </w:pPr>
    </w:p>
    <w:p>
      <w:pPr>
        <w:rPr>
          <w:rFonts w:ascii="华文琥珀" w:hAnsi="仿宋" w:eastAsia="华文琥珀"/>
          <w:color w:val="C00000"/>
          <w:sz w:val="32"/>
          <w:szCs w:val="32"/>
        </w:rPr>
      </w:pPr>
      <w:r>
        <w:rPr>
          <w:rFonts w:hint="eastAsia" w:ascii="华文琥珀" w:hAnsi="仿宋" w:eastAsia="华文琥珀"/>
          <w:color w:val="C00000"/>
          <w:sz w:val="32"/>
          <w:szCs w:val="32"/>
        </w:rPr>
        <w:t>工作职责：</w:t>
      </w:r>
    </w:p>
    <w:p>
      <w:pPr>
        <w:spacing w:line="500" w:lineRule="exact"/>
        <w:ind w:firstLine="560" w:firstLineChars="200"/>
        <w:rPr>
          <w:rFonts w:ascii="华文琥珀" w:hAnsi="仿宋" w:eastAsia="华文琥珀"/>
          <w:color w:val="C0000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1.协助完成工作底稿的编制、整理和归档工作；</w:t>
      </w:r>
    </w:p>
    <w:p>
      <w:pPr>
        <w:spacing w:line="500" w:lineRule="exact"/>
        <w:ind w:firstLine="57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2.协助完成审计业务报告和其他鉴证业务报告；</w:t>
      </w:r>
    </w:p>
    <w:p>
      <w:pPr>
        <w:spacing w:line="500" w:lineRule="exact"/>
        <w:ind w:firstLine="57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3.领导交办的其他工作。</w:t>
      </w:r>
    </w:p>
    <w:p>
      <w:pPr>
        <w:rPr>
          <w:rFonts w:ascii="华文琥珀" w:hAnsi="仿宋" w:eastAsia="华文琥珀"/>
          <w:color w:val="C00000"/>
          <w:sz w:val="32"/>
          <w:szCs w:val="32"/>
        </w:rPr>
      </w:pPr>
      <w:r>
        <w:rPr>
          <w:rFonts w:hint="eastAsia" w:ascii="华文琥珀" w:hAnsi="仿宋" w:eastAsia="华文琥珀"/>
          <w:color w:val="C00000"/>
          <w:sz w:val="32"/>
          <w:szCs w:val="32"/>
        </w:rPr>
        <w:t>职位基本要求</w:t>
      </w:r>
    </w:p>
    <w:p>
      <w:pPr>
        <w:spacing w:line="50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1.财经类相关专业，大三、研一、研二在校生；</w:t>
      </w:r>
    </w:p>
    <w:p>
      <w:pPr>
        <w:spacing w:line="50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2.具有良好的团队协作能力及敬业精神；</w:t>
      </w:r>
    </w:p>
    <w:p>
      <w:pPr>
        <w:spacing w:line="50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3.实习期间能全勤工作，接受出差；</w:t>
      </w:r>
    </w:p>
    <w:p>
      <w:pPr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rPr>
          <w:rFonts w:ascii="仿宋_GB2312" w:hAnsi="宋体" w:eastAsia="仿宋_GB2312" w:cs="宋体"/>
          <w:kern w:val="0"/>
          <w:sz w:val="28"/>
          <w:szCs w:val="28"/>
        </w:rPr>
      </w:pPr>
    </w:p>
    <w:p/>
    <w:p/>
    <w:p/>
    <w:p/>
    <w:p/>
    <w:p/>
    <w:p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5734050</wp:posOffset>
            </wp:positionH>
            <wp:positionV relativeFrom="paragraph">
              <wp:posOffset>-62865</wp:posOffset>
            </wp:positionV>
            <wp:extent cx="7559040" cy="10696575"/>
            <wp:effectExtent l="0" t="0" r="0" b="0"/>
            <wp:wrapNone/>
            <wp:docPr id="3" name="图片 0" descr="瑞华信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0" descr="瑞华信纸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/>
    <w:p/>
    <w:p>
      <w:pPr>
        <w:spacing w:line="500" w:lineRule="exact"/>
        <w:ind w:right="105" w:rightChars="50" w:firstLine="560" w:firstLineChars="200"/>
        <w:rPr>
          <w:rFonts w:ascii="华文琥珀" w:hAnsi="宋体" w:eastAsia="华文琥珀" w:cs="宋体"/>
          <w:sz w:val="28"/>
          <w:szCs w:val="28"/>
        </w:rPr>
      </w:pPr>
      <w:r>
        <w:rPr>
          <w:rFonts w:hint="eastAsia" w:ascii="华文琥珀" w:hAnsi="宋体" w:eastAsia="华文琥珀" w:cs="宋体"/>
          <w:sz w:val="28"/>
          <w:szCs w:val="28"/>
        </w:rPr>
        <w:t>网申通道：</w:t>
      </w:r>
      <w:r>
        <w:fldChar w:fldCharType="begin"/>
      </w:r>
      <w:r>
        <w:instrText xml:space="preserve"> HYPERLINK "http://job.rhcncpa.com/campusjob" </w:instrText>
      </w:r>
      <w:r>
        <w:fldChar w:fldCharType="separate"/>
      </w:r>
      <w:r>
        <w:rPr>
          <w:rStyle w:val="7"/>
          <w:rFonts w:ascii="Franklin Gothic Medium" w:hAnsi="Franklin Gothic Medium" w:eastAsia="华文琥珀" w:cs="宋体"/>
          <w:sz w:val="28"/>
          <w:szCs w:val="28"/>
        </w:rPr>
        <w:t>http://job.rhcncpa.com/campusjob</w:t>
      </w:r>
      <w:r>
        <w:rPr>
          <w:rStyle w:val="7"/>
          <w:rFonts w:ascii="Franklin Gothic Medium" w:hAnsi="Franklin Gothic Medium" w:eastAsia="华文琥珀" w:cs="宋体"/>
          <w:sz w:val="28"/>
          <w:szCs w:val="28"/>
        </w:rPr>
        <w:fldChar w:fldCharType="end"/>
      </w:r>
    </w:p>
    <w:p>
      <w:pPr>
        <w:spacing w:line="500" w:lineRule="exact"/>
        <w:ind w:right="105" w:rightChars="50" w:firstLine="560" w:firstLineChars="200"/>
        <w:rPr>
          <w:rFonts w:ascii="华文琥珀" w:hAnsi="楷体" w:eastAsia="华文琥珀"/>
          <w:sz w:val="28"/>
          <w:szCs w:val="28"/>
        </w:rPr>
      </w:pPr>
      <w:r>
        <w:rPr>
          <w:rFonts w:hint="eastAsia" w:ascii="华文琥珀" w:hAnsi="楷体" w:eastAsia="华文琥珀"/>
          <w:sz w:val="28"/>
          <w:szCs w:val="28"/>
        </w:rPr>
        <w:t>网申时间：9月1日-10月8日</w:t>
      </w:r>
    </w:p>
    <w:p>
      <w:pPr>
        <w:spacing w:line="500" w:lineRule="exact"/>
        <w:ind w:right="105" w:rightChars="50" w:firstLine="560" w:firstLineChars="200"/>
        <w:rPr>
          <w:rFonts w:ascii="华文琥珀" w:hAnsi="楷体" w:eastAsia="华文琥珀"/>
          <w:color w:val="C00000"/>
          <w:sz w:val="28"/>
          <w:szCs w:val="28"/>
        </w:rPr>
      </w:pPr>
      <w:r>
        <w:rPr>
          <w:rFonts w:hint="eastAsia" w:ascii="华文琥珀" w:hAnsi="楷体" w:eastAsia="华文琥珀"/>
          <w:color w:val="C00000"/>
          <w:sz w:val="28"/>
          <w:szCs w:val="28"/>
        </w:rPr>
        <w:t>网申截止日10月8日，小伙伴们赶快行动起来吧！</w:t>
      </w:r>
    </w:p>
    <w:p>
      <w:pPr>
        <w:spacing w:line="500" w:lineRule="exact"/>
        <w:ind w:right="105" w:rightChars="50"/>
        <w:rPr>
          <w:rFonts w:ascii="华文琥珀" w:hAnsi="楷体" w:eastAsia="华文琥珀"/>
          <w:color w:val="C00000"/>
          <w:sz w:val="28"/>
          <w:szCs w:val="28"/>
        </w:rPr>
      </w:pPr>
    </w:p>
    <w:p>
      <w:pPr>
        <w:spacing w:line="500" w:lineRule="exact"/>
        <w:ind w:right="105" w:rightChars="50"/>
        <w:rPr>
          <w:rFonts w:ascii="华文琥珀" w:hAnsi="楷体" w:eastAsia="华文琥珀"/>
          <w:color w:val="C00000"/>
          <w:sz w:val="28"/>
          <w:szCs w:val="28"/>
        </w:rPr>
      </w:pPr>
    </w:p>
    <w:p>
      <w:pPr>
        <w:jc w:val="center"/>
      </w:pPr>
      <w:r>
        <w:rPr>
          <w:rFonts w:ascii="华文琥珀" w:hAnsi="楷体" w:eastAsia="华文琥珀"/>
          <w:color w:val="C00000"/>
          <w:sz w:val="28"/>
          <w:szCs w:val="28"/>
        </w:rPr>
        <w:drawing>
          <wp:inline distT="0" distB="0" distL="0" distR="0">
            <wp:extent cx="1276350" cy="1276350"/>
            <wp:effectExtent l="19050" t="0" r="0" b="0"/>
            <wp:docPr id="8" name="图片 1" descr="F:\瑞华人力资源\招聘\校园推广\瑞华微信二维码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F:\瑞华人力资源\招聘\校园推广\瑞华微信二维码大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华文琥珀" w:hAnsi="楷体" w:eastAsia="华文琥珀"/>
          <w:color w:val="C00000"/>
          <w:sz w:val="28"/>
          <w:szCs w:val="28"/>
        </w:rPr>
      </w:pPr>
      <w:r>
        <w:rPr>
          <w:rFonts w:hint="eastAsia" w:ascii="华文琥珀" w:hAnsi="楷体" w:eastAsia="华文琥珀"/>
          <w:color w:val="C00000"/>
          <w:sz w:val="28"/>
          <w:szCs w:val="28"/>
        </w:rPr>
        <w:t>关注瑞华微信平台、获取更多招聘动态</w:t>
      </w:r>
    </w:p>
    <w:p>
      <w:pPr>
        <w:rPr>
          <w:rFonts w:ascii="华文琥珀" w:hAnsi="楷体" w:eastAsia="华文琥珀"/>
          <w:color w:val="C00000"/>
          <w:sz w:val="28"/>
          <w:szCs w:val="28"/>
        </w:rPr>
      </w:pPr>
    </w:p>
    <w:p>
      <w:pPr>
        <w:rPr>
          <w:rFonts w:ascii="华文琥珀" w:hAnsi="楷体" w:eastAsia="华文琥珀"/>
          <w:sz w:val="28"/>
          <w:szCs w:val="28"/>
        </w:rPr>
      </w:pPr>
      <w:r>
        <w:rPr>
          <w:rFonts w:hint="eastAsia" w:ascii="华文琥珀" w:hAnsi="楷体" w:eastAsia="华文琥珀"/>
          <w:sz w:val="28"/>
          <w:szCs w:val="28"/>
        </w:rPr>
        <w:t>瑞华四川分所</w:t>
      </w:r>
    </w:p>
    <w:p>
      <w:pPr>
        <w:rPr>
          <w:rFonts w:ascii="华文宋体" w:hAnsi="华文宋体" w:eastAsia="华文宋体"/>
          <w:b/>
          <w:sz w:val="28"/>
          <w:szCs w:val="28"/>
        </w:rPr>
      </w:pPr>
      <w:r>
        <w:rPr>
          <w:rFonts w:hint="eastAsia" w:ascii="华文宋体" w:hAnsi="华文宋体" w:eastAsia="华文宋体"/>
          <w:b/>
          <w:sz w:val="28"/>
          <w:szCs w:val="28"/>
        </w:rPr>
        <w:t>地址：成都市高新区益州大道777号中航国际交流中心A座12楼</w:t>
      </w:r>
    </w:p>
    <w:p>
      <w:pPr>
        <w:rPr>
          <w:rFonts w:ascii="华文宋体" w:hAnsi="华文宋体" w:eastAsia="华文宋体"/>
          <w:b/>
          <w:sz w:val="28"/>
          <w:szCs w:val="28"/>
        </w:rPr>
      </w:pPr>
      <w:r>
        <w:rPr>
          <w:rFonts w:hint="eastAsia" w:ascii="华文宋体" w:hAnsi="华文宋体" w:eastAsia="华文宋体"/>
          <w:b/>
          <w:sz w:val="28"/>
          <w:szCs w:val="28"/>
        </w:rPr>
        <w:t>招聘专线：028-66752686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ranklin Gothic Medium">
    <w:panose1 w:val="020B0603020102020204"/>
    <w:charset w:val="00"/>
    <w:family w:val="swiss"/>
    <w:pitch w:val="default"/>
    <w:sig w:usb0="00000287" w:usb1="00000000" w:usb2="00000000" w:usb3="00000000" w:csb0="2000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4E20"/>
    <w:rsid w:val="00020515"/>
    <w:rsid w:val="00025418"/>
    <w:rsid w:val="00055A0A"/>
    <w:rsid w:val="00062549"/>
    <w:rsid w:val="0006780A"/>
    <w:rsid w:val="000A3210"/>
    <w:rsid w:val="000A6695"/>
    <w:rsid w:val="000F66D9"/>
    <w:rsid w:val="001472CC"/>
    <w:rsid w:val="00152364"/>
    <w:rsid w:val="00167E41"/>
    <w:rsid w:val="001F4E20"/>
    <w:rsid w:val="00203C6F"/>
    <w:rsid w:val="00243FD2"/>
    <w:rsid w:val="002C67E0"/>
    <w:rsid w:val="002E31F8"/>
    <w:rsid w:val="002F25FE"/>
    <w:rsid w:val="00305BD2"/>
    <w:rsid w:val="003158FC"/>
    <w:rsid w:val="00351DB0"/>
    <w:rsid w:val="00365E69"/>
    <w:rsid w:val="0038175B"/>
    <w:rsid w:val="00382994"/>
    <w:rsid w:val="00384802"/>
    <w:rsid w:val="003A0626"/>
    <w:rsid w:val="003A1EB7"/>
    <w:rsid w:val="003D2684"/>
    <w:rsid w:val="003E331E"/>
    <w:rsid w:val="003E53BF"/>
    <w:rsid w:val="003F625D"/>
    <w:rsid w:val="004759EA"/>
    <w:rsid w:val="004960DF"/>
    <w:rsid w:val="004A5CA1"/>
    <w:rsid w:val="004B37CC"/>
    <w:rsid w:val="004C54E9"/>
    <w:rsid w:val="004D1C95"/>
    <w:rsid w:val="00534B62"/>
    <w:rsid w:val="00535F5A"/>
    <w:rsid w:val="00535F9F"/>
    <w:rsid w:val="00537D21"/>
    <w:rsid w:val="00543047"/>
    <w:rsid w:val="0054707C"/>
    <w:rsid w:val="0055027D"/>
    <w:rsid w:val="00552C4D"/>
    <w:rsid w:val="00592A28"/>
    <w:rsid w:val="005A72DA"/>
    <w:rsid w:val="005B1B4B"/>
    <w:rsid w:val="005D7174"/>
    <w:rsid w:val="00607EA4"/>
    <w:rsid w:val="00611582"/>
    <w:rsid w:val="00625EE8"/>
    <w:rsid w:val="006655CE"/>
    <w:rsid w:val="00666402"/>
    <w:rsid w:val="006706B4"/>
    <w:rsid w:val="00672BFF"/>
    <w:rsid w:val="00695F9F"/>
    <w:rsid w:val="006C76CD"/>
    <w:rsid w:val="006D7CCA"/>
    <w:rsid w:val="006E24C8"/>
    <w:rsid w:val="0070221A"/>
    <w:rsid w:val="00705455"/>
    <w:rsid w:val="00747C52"/>
    <w:rsid w:val="00760678"/>
    <w:rsid w:val="007748D5"/>
    <w:rsid w:val="007A6045"/>
    <w:rsid w:val="007B2368"/>
    <w:rsid w:val="007B5CB6"/>
    <w:rsid w:val="007D0E45"/>
    <w:rsid w:val="007E3F68"/>
    <w:rsid w:val="007F635F"/>
    <w:rsid w:val="00804B7F"/>
    <w:rsid w:val="00804B80"/>
    <w:rsid w:val="008102D2"/>
    <w:rsid w:val="00821FA4"/>
    <w:rsid w:val="00861120"/>
    <w:rsid w:val="008641C2"/>
    <w:rsid w:val="00866916"/>
    <w:rsid w:val="008924B1"/>
    <w:rsid w:val="00896A84"/>
    <w:rsid w:val="008A7127"/>
    <w:rsid w:val="008B01AC"/>
    <w:rsid w:val="008B262C"/>
    <w:rsid w:val="008B310D"/>
    <w:rsid w:val="008B3612"/>
    <w:rsid w:val="00933C0B"/>
    <w:rsid w:val="00955FD9"/>
    <w:rsid w:val="00993F7A"/>
    <w:rsid w:val="009B1AC8"/>
    <w:rsid w:val="009B25AF"/>
    <w:rsid w:val="009C5777"/>
    <w:rsid w:val="009D3185"/>
    <w:rsid w:val="009E2461"/>
    <w:rsid w:val="009E285D"/>
    <w:rsid w:val="009E5EDF"/>
    <w:rsid w:val="009F69BC"/>
    <w:rsid w:val="00A23DC8"/>
    <w:rsid w:val="00AA262C"/>
    <w:rsid w:val="00AA2B74"/>
    <w:rsid w:val="00AB6942"/>
    <w:rsid w:val="00AF3194"/>
    <w:rsid w:val="00B14170"/>
    <w:rsid w:val="00B2246C"/>
    <w:rsid w:val="00B23830"/>
    <w:rsid w:val="00B344E2"/>
    <w:rsid w:val="00B36932"/>
    <w:rsid w:val="00B665ED"/>
    <w:rsid w:val="00B83153"/>
    <w:rsid w:val="00B90541"/>
    <w:rsid w:val="00BB40CE"/>
    <w:rsid w:val="00BC6871"/>
    <w:rsid w:val="00BC6E2A"/>
    <w:rsid w:val="00BE01CD"/>
    <w:rsid w:val="00C050A0"/>
    <w:rsid w:val="00C424A4"/>
    <w:rsid w:val="00C43D7B"/>
    <w:rsid w:val="00C77160"/>
    <w:rsid w:val="00C8277D"/>
    <w:rsid w:val="00CB0485"/>
    <w:rsid w:val="00CE7ED5"/>
    <w:rsid w:val="00CF61CF"/>
    <w:rsid w:val="00D10B3D"/>
    <w:rsid w:val="00D24C46"/>
    <w:rsid w:val="00D335F2"/>
    <w:rsid w:val="00D51CF7"/>
    <w:rsid w:val="00D63E54"/>
    <w:rsid w:val="00D71935"/>
    <w:rsid w:val="00DA2F36"/>
    <w:rsid w:val="00DC7DFC"/>
    <w:rsid w:val="00DE03B8"/>
    <w:rsid w:val="00DE4495"/>
    <w:rsid w:val="00DE490A"/>
    <w:rsid w:val="00DF1E7A"/>
    <w:rsid w:val="00DF51FE"/>
    <w:rsid w:val="00E03FA6"/>
    <w:rsid w:val="00E32617"/>
    <w:rsid w:val="00E6264A"/>
    <w:rsid w:val="00E6613C"/>
    <w:rsid w:val="00EC729A"/>
    <w:rsid w:val="00EE25A0"/>
    <w:rsid w:val="00F651A4"/>
    <w:rsid w:val="00FB1C7D"/>
    <w:rsid w:val="00FD6447"/>
    <w:rsid w:val="00FF446E"/>
    <w:rsid w:val="388C08D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qFormat="1"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8"/>
    <w:unhideWhenUsed/>
    <w:uiPriority w:val="99"/>
    <w:rPr>
      <w:sz w:val="18"/>
      <w:szCs w:val="18"/>
    </w:rPr>
  </w:style>
  <w:style w:type="paragraph" w:styleId="3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unhideWhenUsed/>
    <w:qFormat/>
    <w:uiPriority w:val="99"/>
    <w:rPr>
      <w:color w:val="903638" w:themeColor="followedHyperlink"/>
      <w:u w:val="single"/>
    </w:rPr>
  </w:style>
  <w:style w:type="character" w:styleId="7">
    <w:name w:val="Hyperlink"/>
    <w:basedOn w:val="5"/>
    <w:qFormat/>
    <w:uiPriority w:val="99"/>
    <w:rPr>
      <w:color w:val="0000FF"/>
      <w:u w:val="single"/>
    </w:rPr>
  </w:style>
  <w:style w:type="table" w:styleId="9">
    <w:name w:val="Table Grid"/>
    <w:basedOn w:val="8"/>
    <w:uiPriority w:val="0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Light List Accent 6"/>
    <w:basedOn w:val="8"/>
    <w:uiPriority w:val="61"/>
    <w:tblPr>
      <w:tblBorders>
        <w:top w:val="single" w:color="E8B7B7" w:themeColor="accent6" w:sz="8" w:space="0"/>
        <w:left w:val="single" w:color="E8B7B7" w:themeColor="accent6" w:sz="8" w:space="0"/>
        <w:bottom w:val="single" w:color="E8B7B7" w:themeColor="accent6" w:sz="8" w:space="0"/>
        <w:right w:val="single" w:color="E8B7B7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E8B7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E8B7B7" w:themeColor="accent6" w:sz="6" w:space="0"/>
          <w:left w:val="single" w:color="E8B7B7" w:themeColor="accent6" w:sz="8" w:space="0"/>
          <w:bottom w:val="single" w:color="E8B7B7" w:themeColor="accent6" w:sz="8" w:space="0"/>
          <w:right w:val="single" w:color="E8B7B7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E8B7B7" w:themeColor="accent6" w:sz="8" w:space="0"/>
          <w:left w:val="single" w:color="E8B7B7" w:themeColor="accent6" w:sz="8" w:space="0"/>
          <w:bottom w:val="single" w:color="E8B7B7" w:themeColor="accent6" w:sz="8" w:space="0"/>
          <w:right w:val="single" w:color="E8B7B7" w:themeColor="accent6" w:sz="8" w:space="0"/>
        </w:tcBorders>
      </w:tcPr>
    </w:tblStylePr>
    <w:tblStylePr w:type="band1Horz">
      <w:tblPr>
        <w:tblLayout w:type="fixed"/>
      </w:tblPr>
      <w:tcPr>
        <w:tcBorders>
          <w:top w:val="single" w:color="E8B7B7" w:themeColor="accent6" w:sz="8" w:space="0"/>
          <w:left w:val="single" w:color="E8B7B7" w:themeColor="accent6" w:sz="8" w:space="0"/>
          <w:bottom w:val="single" w:color="E8B7B7" w:themeColor="accent6" w:sz="8" w:space="0"/>
          <w:right w:val="single" w:color="E8B7B7" w:themeColor="accent6" w:sz="8" w:space="0"/>
        </w:tcBorders>
      </w:tcPr>
    </w:tblStylePr>
  </w:style>
  <w:style w:type="table" w:styleId="11">
    <w:name w:val="Light Grid Accent 6"/>
    <w:basedOn w:val="8"/>
    <w:qFormat/>
    <w:uiPriority w:val="62"/>
    <w:tblPr>
      <w:tblBorders>
        <w:top w:val="single" w:color="E8B7B7" w:themeColor="accent6" w:sz="8" w:space="0"/>
        <w:left w:val="single" w:color="E8B7B7" w:themeColor="accent6" w:sz="8" w:space="0"/>
        <w:bottom w:val="single" w:color="E8B7B7" w:themeColor="accent6" w:sz="8" w:space="0"/>
        <w:right w:val="single" w:color="E8B7B7" w:themeColor="accent6" w:sz="8" w:space="0"/>
        <w:insideH w:val="single" w:color="E8B7B7" w:themeColor="accent6" w:sz="8" w:space="0"/>
        <w:insideV w:val="single" w:color="E8B7B7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E8B7B7" w:themeColor="accent6" w:sz="8" w:space="0"/>
          <w:left w:val="single" w:color="E8B7B7" w:themeColor="accent6" w:sz="8" w:space="0"/>
          <w:bottom w:val="single" w:color="E8B7B7" w:themeColor="accent6" w:sz="18" w:space="0"/>
          <w:right w:val="single" w:color="E8B7B7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E8B7B7" w:themeColor="accent6" w:sz="6" w:space="0"/>
          <w:left w:val="single" w:color="E8B7B7" w:themeColor="accent6" w:sz="8" w:space="0"/>
          <w:bottom w:val="single" w:color="E8B7B7" w:themeColor="accent6" w:sz="8" w:space="0"/>
          <w:right w:val="single" w:color="E8B7B7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E8B7B7" w:themeColor="accent6" w:sz="8" w:space="0"/>
          <w:left w:val="single" w:color="E8B7B7" w:themeColor="accent6" w:sz="8" w:space="0"/>
          <w:bottom w:val="single" w:color="E8B7B7" w:themeColor="accent6" w:sz="8" w:space="0"/>
          <w:right w:val="single" w:color="E8B7B7" w:themeColor="accent6" w:sz="8" w:space="0"/>
        </w:tcBorders>
      </w:tcPr>
    </w:tblStylePr>
    <w:tblStylePr w:type="band1Vert">
      <w:tblPr>
        <w:tblLayout w:type="fixed"/>
      </w:tblPr>
      <w:tcPr>
        <w:tcBorders>
          <w:top w:val="single" w:color="E8B7B7" w:themeColor="accent6" w:sz="8" w:space="0"/>
          <w:left w:val="single" w:color="E8B7B7" w:themeColor="accent6" w:sz="8" w:space="0"/>
          <w:bottom w:val="single" w:color="E8B7B7" w:themeColor="accent6" w:sz="8" w:space="0"/>
          <w:right w:val="single" w:color="E8B7B7" w:themeColor="accent6" w:sz="8" w:space="0"/>
        </w:tcBorders>
        <w:shd w:val="clear" w:color="auto" w:fill="F9EDED" w:themeFill="accent6" w:themeFillTint="3F"/>
      </w:tcPr>
    </w:tblStylePr>
    <w:tblStylePr w:type="band1Horz">
      <w:tblPr>
        <w:tblLayout w:type="fixed"/>
      </w:tblPr>
      <w:tcPr>
        <w:tcBorders>
          <w:top w:val="single" w:color="E8B7B7" w:themeColor="accent6" w:sz="8" w:space="0"/>
          <w:left w:val="single" w:color="E8B7B7" w:themeColor="accent6" w:sz="8" w:space="0"/>
          <w:bottom w:val="single" w:color="E8B7B7" w:themeColor="accent6" w:sz="8" w:space="0"/>
          <w:right w:val="single" w:color="E8B7B7" w:themeColor="accent6" w:sz="8" w:space="0"/>
          <w:insideV w:val="single" w:sz="8" w:space="0"/>
        </w:tcBorders>
        <w:shd w:val="clear" w:color="auto" w:fill="F9EDED" w:themeFill="accent6" w:themeFillTint="3F"/>
      </w:tcPr>
    </w:tblStylePr>
    <w:tblStylePr w:type="band2Horz">
      <w:tblPr>
        <w:tblLayout w:type="fixed"/>
      </w:tblPr>
      <w:tcPr>
        <w:tcBorders>
          <w:top w:val="single" w:color="E8B7B7" w:themeColor="accent6" w:sz="8" w:space="0"/>
          <w:left w:val="single" w:color="E8B7B7" w:themeColor="accent6" w:sz="8" w:space="0"/>
          <w:bottom w:val="single" w:color="E8B7B7" w:themeColor="accent6" w:sz="8" w:space="0"/>
          <w:right w:val="single" w:color="E8B7B7" w:themeColor="accent6" w:sz="8" w:space="0"/>
          <w:insideV w:val="single" w:sz="8" w:space="0"/>
        </w:tcBorders>
      </w:tcPr>
    </w:tblStylePr>
  </w:style>
  <w:style w:type="table" w:styleId="12">
    <w:name w:val="Medium Shading 1 Accent 6"/>
    <w:basedOn w:val="8"/>
    <w:qFormat/>
    <w:uiPriority w:val="63"/>
    <w:tblPr>
      <w:tblBorders>
        <w:top w:val="single" w:color="EDC9C9" w:themeColor="accent6" w:themeTint="BF" w:sz="8" w:space="0"/>
        <w:left w:val="single" w:color="EDC9C9" w:themeColor="accent6" w:themeTint="BF" w:sz="8" w:space="0"/>
        <w:bottom w:val="single" w:color="EDC9C9" w:themeColor="accent6" w:themeTint="BF" w:sz="8" w:space="0"/>
        <w:right w:val="single" w:color="EDC9C9" w:themeColor="accent6" w:themeTint="BF" w:sz="8" w:space="0"/>
        <w:insideH w:val="single" w:color="EDC9C9" w:themeColor="accent6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EDC9C9" w:themeColor="accent6" w:themeTint="BF" w:sz="8" w:space="0"/>
          <w:left w:val="single" w:color="EDC9C9" w:themeColor="accent6" w:themeTint="BF" w:sz="8" w:space="0"/>
          <w:bottom w:val="single" w:color="EDC9C9" w:themeColor="accent6" w:themeTint="BF" w:sz="8" w:space="0"/>
          <w:right w:val="single" w:color="EDC9C9" w:themeColor="accent6" w:themeTint="BF" w:sz="8" w:space="0"/>
          <w:insideH w:val="nil"/>
          <w:insideV w:val="nil"/>
        </w:tcBorders>
        <w:shd w:val="clear" w:color="auto" w:fill="E8B7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EDC9C9" w:themeColor="accent6" w:themeTint="BF" w:sz="6" w:space="0"/>
          <w:left w:val="single" w:color="EDC9C9" w:themeColor="accent6" w:themeTint="BF" w:sz="8" w:space="0"/>
          <w:bottom w:val="single" w:color="EDC9C9" w:themeColor="accent6" w:themeTint="BF" w:sz="8" w:space="0"/>
          <w:right w:val="single" w:color="EDC9C9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9EDED" w:themeFill="accent6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F9EDED" w:themeFill="accent6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13">
    <w:name w:val="Medium List 1 Accent 6"/>
    <w:basedOn w:val="8"/>
    <w:uiPriority w:val="65"/>
    <w:rPr>
      <w:color w:val="000000" w:themeColor="text1"/>
    </w:rPr>
    <w:tblPr>
      <w:tblBorders>
        <w:top w:val="single" w:color="E8B7B7" w:themeColor="accent6" w:sz="8" w:space="0"/>
        <w:bottom w:val="single" w:color="E8B7B7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E8B7B7" w:themeColor="accent6" w:sz="8" w:space="0"/>
        </w:tcBorders>
      </w:tcPr>
    </w:tblStylePr>
    <w:tblStylePr w:type="lastRow">
      <w:rPr>
        <w:b/>
        <w:bCs/>
        <w:color w:val="676A55" w:themeColor="text2"/>
      </w:rPr>
      <w:tblPr>
        <w:tblLayout w:type="fixed"/>
      </w:tblPr>
      <w:tcPr>
        <w:tcBorders>
          <w:top w:val="single" w:color="E8B7B7" w:themeColor="accent6" w:sz="8" w:space="0"/>
          <w:bottom w:val="single" w:color="E8B7B7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E8B7B7" w:themeColor="accent6" w:sz="8" w:space="0"/>
          <w:bottom w:val="single" w:color="E8B7B7" w:themeColor="accent6" w:sz="8" w:space="0"/>
        </w:tcBorders>
      </w:tcPr>
    </w:tblStylePr>
    <w:tblStylePr w:type="band1Vert">
      <w:tblPr>
        <w:tblLayout w:type="fixed"/>
      </w:tblPr>
      <w:tcPr>
        <w:shd w:val="clear" w:color="auto" w:fill="F9EDED" w:themeFill="accent6" w:themeFillTint="3F"/>
      </w:tcPr>
    </w:tblStylePr>
    <w:tblStylePr w:type="band1Horz">
      <w:tblPr>
        <w:tblLayout w:type="fixed"/>
      </w:tblPr>
      <w:tcPr>
        <w:shd w:val="clear" w:color="auto" w:fill="F9EDED" w:themeFill="accent6" w:themeFillTint="3F"/>
      </w:tcPr>
    </w:tblStylePr>
  </w:style>
  <w:style w:type="table" w:styleId="14">
    <w:name w:val="Medium Grid 1 Accent 6"/>
    <w:basedOn w:val="8"/>
    <w:qFormat/>
    <w:uiPriority w:val="67"/>
    <w:tblPr>
      <w:tblBorders>
        <w:top w:val="single" w:color="EDC9C9" w:themeColor="accent6" w:themeTint="BF" w:sz="8" w:space="0"/>
        <w:left w:val="single" w:color="EDC9C9" w:themeColor="accent6" w:themeTint="BF" w:sz="8" w:space="0"/>
        <w:bottom w:val="single" w:color="EDC9C9" w:themeColor="accent6" w:themeTint="BF" w:sz="8" w:space="0"/>
        <w:right w:val="single" w:color="EDC9C9" w:themeColor="accent6" w:themeTint="BF" w:sz="8" w:space="0"/>
        <w:insideH w:val="single" w:color="EDC9C9" w:themeColor="accent6" w:themeTint="BF" w:sz="8" w:space="0"/>
        <w:insideV w:val="single" w:color="EDC9C9" w:themeColor="accent6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EDE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EDC9C9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3DBDB" w:themeFill="accent6" w:themeFillTint="7F"/>
      </w:tcPr>
    </w:tblStylePr>
    <w:tblStylePr w:type="band1Horz">
      <w:tblPr>
        <w:tblLayout w:type="fixed"/>
      </w:tblPr>
      <w:tcPr>
        <w:shd w:val="clear" w:color="auto" w:fill="F3DBDB" w:themeFill="accent6" w:themeFillTint="7F"/>
      </w:tcPr>
    </w:tblStylePr>
  </w:style>
  <w:style w:type="table" w:styleId="15">
    <w:name w:val="Medium Grid 3 Accent 6"/>
    <w:basedOn w:val="8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EDE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E8B7B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E8B7B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E8B7B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E8B7B7" w:themeFill="accent6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3DBDB" w:themeFill="accent6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3DBDB" w:themeFill="accent6" w:themeFillTint="7F"/>
      </w:tcPr>
    </w:tblStylePr>
  </w:style>
  <w:style w:type="character" w:customStyle="1" w:styleId="16">
    <w:name w:val="页眉 Char"/>
    <w:basedOn w:val="5"/>
    <w:link w:val="4"/>
    <w:uiPriority w:val="99"/>
    <w:rPr>
      <w:sz w:val="18"/>
      <w:szCs w:val="18"/>
    </w:rPr>
  </w:style>
  <w:style w:type="character" w:customStyle="1" w:styleId="17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8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沉稳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F75578-6E8A-4578-AD84-B1416D1B4D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260</Words>
  <Characters>1488</Characters>
  <Lines>12</Lines>
  <Paragraphs>3</Paragraphs>
  <TotalTime>0</TotalTime>
  <ScaleCrop>false</ScaleCrop>
  <LinksUpToDate>false</LinksUpToDate>
  <CharactersWithSpaces>1745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2013-12-10T07:39:00Z</dcterms:created>
  <dc:creator>Lisa Chen</dc:creator>
  <cp:lastModifiedBy>jgy</cp:lastModifiedBy>
  <dcterms:modified xsi:type="dcterms:W3CDTF">2016-10-11T09:57:05Z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