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4D" w:rsidRPr="00563A4D" w:rsidRDefault="00563A4D" w:rsidP="00563A4D">
      <w:pPr>
        <w:widowControl/>
        <w:shd w:val="clear" w:color="auto" w:fill="FFFFFF"/>
        <w:spacing w:after="109" w:line="480" w:lineRule="atLeast"/>
        <w:jc w:val="center"/>
        <w:outlineLvl w:val="1"/>
        <w:rPr>
          <w:rFonts w:asciiTheme="minorEastAsia" w:hAnsiTheme="minorEastAsia" w:cs="宋体"/>
          <w:b/>
          <w:bCs/>
          <w:color w:val="333333"/>
          <w:kern w:val="0"/>
          <w:sz w:val="25"/>
          <w:szCs w:val="21"/>
        </w:rPr>
      </w:pPr>
      <w:r w:rsidRPr="00563A4D">
        <w:rPr>
          <w:rFonts w:asciiTheme="minorEastAsia" w:hAnsiTheme="minorEastAsia" w:cs="宋体"/>
          <w:b/>
          <w:bCs/>
          <w:color w:val="333333"/>
          <w:kern w:val="0"/>
          <w:sz w:val="25"/>
          <w:szCs w:val="21"/>
        </w:rPr>
        <w:t>ACCA学习优势</w:t>
      </w:r>
    </w:p>
    <w:p w:rsidR="00563A4D" w:rsidRPr="006E7C7D" w:rsidRDefault="00563A4D" w:rsidP="0040577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FF0000"/>
          <w:kern w:val="0"/>
          <w:szCs w:val="21"/>
        </w:rPr>
      </w:pPr>
      <w:r w:rsidRPr="00563A4D">
        <w:rPr>
          <w:rFonts w:asciiTheme="minorEastAsia" w:hAnsiTheme="minorEastAsia" w:cs="宋体"/>
          <w:color w:val="333333"/>
          <w:kern w:val="0"/>
          <w:szCs w:val="21"/>
        </w:rPr>
        <w:t>ACCA为所有参加ACCA学习的学员及获得ACCA资质的会员提供了自身知识完善、工作能力提升、职业发展机遇、海外学历、留学移民机会等全面的发展机遇和无以伦比的发展优势。</w:t>
      </w:r>
      <w:r w:rsidRPr="006E7C7D">
        <w:rPr>
          <w:rStyle w:val="a5"/>
          <w:rFonts w:asciiTheme="minorEastAsia" w:hAnsiTheme="minorEastAsia"/>
          <w:color w:val="FF0000"/>
          <w:szCs w:val="21"/>
        </w:rPr>
        <w:t>ACCA是国际认可范围最高的财务人员资格证书。</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1" name="图片 1"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注册即加入全世界最大的职业会计组织</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2" name="图片 2"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取得一张国际财会界的通行证、中国大陆广泛认可的高水准国外会计资格证书</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3" name="图片 3"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可系统地学习会计、审计、财务管理和企业管理等知识</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4" name="图片 4"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可系统地学习国际会计准则、国际审计准则</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5" name="图片 5"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可以学习最新的企业管理和风险管理理论和技巧</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6" name="图片 6"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是外资企业从事高级财会工作的敲门砖</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7" name="图片 7"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是跻身高级财会人才的必备证书</w:t>
      </w:r>
    </w:p>
    <w:p w:rsidR="00563A4D" w:rsidRPr="00563A4D" w:rsidRDefault="00563A4D" w:rsidP="00563A4D">
      <w:pPr>
        <w:pStyle w:val="newbrp01"/>
        <w:shd w:val="clear" w:color="auto" w:fill="FFFFFF"/>
        <w:wordWrap w:val="0"/>
        <w:spacing w:before="0" w:beforeAutospacing="0" w:after="0" w:afterAutospacing="0" w:line="480" w:lineRule="atLeast"/>
        <w:ind w:left="204" w:firstLine="480"/>
        <w:rPr>
          <w:rFonts w:asciiTheme="minorEastAsia" w:eastAsiaTheme="minorEastAsia" w:hAnsiTheme="minorEastAsia"/>
          <w:color w:val="663366"/>
          <w:sz w:val="21"/>
          <w:szCs w:val="21"/>
        </w:rPr>
      </w:pPr>
      <w:r w:rsidRPr="00563A4D">
        <w:rPr>
          <w:rFonts w:asciiTheme="minorEastAsia" w:eastAsiaTheme="minorEastAsia" w:hAnsiTheme="minorEastAsia"/>
          <w:noProof/>
          <w:color w:val="663366"/>
          <w:sz w:val="21"/>
          <w:szCs w:val="21"/>
        </w:rPr>
        <w:drawing>
          <wp:inline distT="0" distB="0" distL="0" distR="0">
            <wp:extent cx="94615" cy="86360"/>
            <wp:effectExtent l="19050" t="0" r="635" b="0"/>
            <wp:docPr id="8" name="图片 8" descr="http://acca.shufepx.com/images/m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a.shufepx.com/images/more.gif"/>
                    <pic:cNvPicPr>
                      <a:picLocks noChangeAspect="1" noChangeArrowheads="1"/>
                    </pic:cNvPicPr>
                  </pic:nvPicPr>
                  <pic:blipFill>
                    <a:blip r:embed="rId6"/>
                    <a:srcRect/>
                    <a:stretch>
                      <a:fillRect/>
                    </a:stretch>
                  </pic:blipFill>
                  <pic:spPr bwMode="auto">
                    <a:xfrm>
                      <a:off x="0" y="0"/>
                      <a:ext cx="94615" cy="86360"/>
                    </a:xfrm>
                    <a:prstGeom prst="rect">
                      <a:avLst/>
                    </a:prstGeom>
                    <a:noFill/>
                    <a:ln w="9525">
                      <a:noFill/>
                      <a:miter lim="800000"/>
                      <a:headEnd/>
                      <a:tailEnd/>
                    </a:ln>
                  </pic:spPr>
                </pic:pic>
              </a:graphicData>
            </a:graphic>
          </wp:inline>
        </w:drawing>
      </w:r>
      <w:r w:rsidRPr="00563A4D">
        <w:rPr>
          <w:rStyle w:val="apple-converted-space"/>
          <w:rFonts w:asciiTheme="minorEastAsia" w:eastAsiaTheme="minorEastAsia" w:hAnsiTheme="minorEastAsia"/>
          <w:color w:val="663366"/>
          <w:sz w:val="21"/>
          <w:szCs w:val="21"/>
        </w:rPr>
        <w:t> </w:t>
      </w:r>
      <w:r w:rsidRPr="00563A4D">
        <w:rPr>
          <w:rFonts w:asciiTheme="minorEastAsia" w:eastAsiaTheme="minorEastAsia" w:hAnsiTheme="minorEastAsia"/>
          <w:color w:val="663366"/>
          <w:sz w:val="21"/>
          <w:szCs w:val="21"/>
        </w:rPr>
        <w:t>是成长为首席财务执行官 、 会计师事务所合伙人 、政府机构审计长 、自我创业的企业家 、跨国公司财务总监 、高级内审经理 、公司高级执行官 、企业咨询师的快速助推器</w:t>
      </w:r>
    </w:p>
    <w:p w:rsidR="006E7C7D" w:rsidRDefault="006E7C7D" w:rsidP="00563A4D">
      <w:pPr>
        <w:widowControl/>
        <w:shd w:val="clear" w:color="auto" w:fill="FFFFFF"/>
        <w:wordWrap w:val="0"/>
        <w:spacing w:line="480" w:lineRule="atLeast"/>
        <w:ind w:left="204" w:firstLine="480"/>
        <w:jc w:val="left"/>
        <w:rPr>
          <w:rFonts w:asciiTheme="minorEastAsia" w:hAnsiTheme="minorEastAsia" w:cs="宋体"/>
          <w:b/>
          <w:bCs/>
          <w:color w:val="333333"/>
          <w:kern w:val="0"/>
          <w:szCs w:val="21"/>
        </w:rPr>
      </w:pP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全球广泛认可，英国女皇多次嘉奖</w:t>
      </w:r>
    </w:p>
    <w:p w:rsidR="00563A4D" w:rsidRPr="00563A4D" w:rsidRDefault="00563A4D" w:rsidP="00563A4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ACCA资质具有超过百年的悠久历史，享有极高的国际地位，是国际会计师联合会的重要核心会员。其影响力遍及世界上超过170个国家和地区。ACCA的考试采用全球统考的形式，其课程及知识体系符合全球商业管理，学员的能力备受认可。</w:t>
      </w:r>
    </w:p>
    <w:p w:rsidR="00563A4D" w:rsidRPr="00563A4D" w:rsidRDefault="00563A4D" w:rsidP="00563A4D">
      <w:pPr>
        <w:widowControl/>
        <w:jc w:val="left"/>
        <w:rPr>
          <w:rFonts w:asciiTheme="minorEastAsia" w:hAnsiTheme="minorEastAsia" w:cs="宋体"/>
          <w:kern w:val="0"/>
          <w:szCs w:val="21"/>
        </w:rPr>
      </w:pP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完善知识结构，涵盖金融、财务、管理等前沿内容</w:t>
      </w:r>
    </w:p>
    <w:p w:rsidR="00563A4D" w:rsidRPr="00563A4D" w:rsidRDefault="00563A4D" w:rsidP="0040577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ACCA共设置有16门课程，考生将被要求通过其中的14门。课程所涵盖的不仅仅包含会计、审计方面的专业知识，也同时涵盖人力资源、公司管理、战略决策、法务、税务、业绩衡量、财务管理、职业道德等方面的知识体系。将为学习的学员提供完整的国际商业知识结构，无论ACCA的学员是否直接从事财务工作，或是从事管理，销售，人力资源，金融工程等工作，无论从事何种行业，均将受益于ACCA的完善知识结构！</w:t>
      </w:r>
      <w:r w:rsidRPr="00563A4D">
        <w:rPr>
          <w:rFonts w:asciiTheme="minorEastAsia" w:hAnsiTheme="minorEastAsia" w:cs="宋体"/>
          <w:color w:val="333333"/>
          <w:kern w:val="0"/>
          <w:szCs w:val="21"/>
        </w:rPr>
        <w:br/>
      </w: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全英文教材，国际商业惯例表达，提升专业语言能力</w:t>
      </w:r>
    </w:p>
    <w:p w:rsidR="00563A4D" w:rsidRPr="00563A4D" w:rsidRDefault="00563A4D" w:rsidP="00563A4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lastRenderedPageBreak/>
        <w:t>ACCA的授课采用英式教育方式，注重学习中的应用和理解。其课程采用全英语的教材，讲义，习题，考试也采用英文考试。通过课程的学习，中国学生将逐步从阅读，口语，听力，写作方面全面提升专业语言能力，成为通晓国际商业管理表达，适应跨国企业工作要求的专业人才！</w:t>
      </w:r>
    </w:p>
    <w:p w:rsidR="00563A4D" w:rsidRPr="00563A4D" w:rsidRDefault="00563A4D" w:rsidP="00563A4D">
      <w:pPr>
        <w:widowControl/>
        <w:jc w:val="left"/>
        <w:rPr>
          <w:rFonts w:asciiTheme="minorEastAsia" w:hAnsiTheme="minorEastAsia" w:cs="宋体"/>
          <w:kern w:val="0"/>
          <w:szCs w:val="21"/>
        </w:rPr>
      </w:pP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最快两年可获英国学士学位，不出国门“留学”海外</w:t>
      </w:r>
    </w:p>
    <w:p w:rsidR="00563A4D" w:rsidRPr="00563A4D" w:rsidRDefault="00563A4D" w:rsidP="00563A4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ACCA提供了与海外学位复合的机会，通过学习ACCA亦可有机会获得英国牛津-布鲁克斯大学提供的学位。通过ACCA前九门课程，并向英国递交论文及商业分析报告，即可获得牛津-布鲁克斯大学的会计学理学学士荣誉学位。完成14门课程，加修一定学时的远程课程，可获得牛津-布鲁克斯大学提供的MBA学位。不出国门，留学海外，费用大为节省。</w:t>
      </w:r>
    </w:p>
    <w:p w:rsidR="00563A4D" w:rsidRPr="00563A4D" w:rsidRDefault="00563A4D" w:rsidP="00563A4D">
      <w:pPr>
        <w:widowControl/>
        <w:jc w:val="left"/>
        <w:rPr>
          <w:rFonts w:asciiTheme="minorEastAsia" w:hAnsiTheme="minorEastAsia" w:cs="宋体"/>
          <w:kern w:val="0"/>
          <w:szCs w:val="21"/>
        </w:rPr>
      </w:pP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世界500强一致青睐，需求缺口巨大，薪资待遇优厚</w:t>
      </w:r>
    </w:p>
    <w:p w:rsidR="00563A4D" w:rsidRPr="00563A4D" w:rsidRDefault="00563A4D" w:rsidP="00563A4D">
      <w:pPr>
        <w:widowControl/>
        <w:pBdr>
          <w:bottom w:val="dashed" w:sz="6" w:space="0" w:color="CCCCCC"/>
        </w:pBdr>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ACCA在中国地区有超过400家的国际国内知名企业是ACCA的“认可雇主企业”。其参加考试的学员及会员无论是在ACCA认可雇主企业或是其他国际企业中，如BP石油、联合利华、可口可乐、空客公司、GE等世界性大企业中拥有无与伦比的职业发展机遇及优势！2009年据调查，大多数ACCA会员年收入在30万以上，21% 的ACCA会员收入在50万至100万之间，最高可到200万！有40%ACCA会员一年内被HR“挖角”6次以上；58%的ACCA会员年薪增长超过10%；20%的年薪增长超过30%；42%的ACCA准会员年薪涨幅超过30%。</w:t>
      </w:r>
    </w:p>
    <w:p w:rsidR="00563A4D" w:rsidRPr="00563A4D" w:rsidRDefault="00563A4D" w:rsidP="00563A4D">
      <w:pPr>
        <w:widowControl/>
        <w:jc w:val="left"/>
        <w:rPr>
          <w:rFonts w:asciiTheme="minorEastAsia" w:hAnsiTheme="minorEastAsia" w:cs="宋体"/>
          <w:kern w:val="0"/>
          <w:szCs w:val="21"/>
        </w:rPr>
      </w:pP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b/>
          <w:bCs/>
          <w:color w:val="333333"/>
          <w:kern w:val="0"/>
          <w:szCs w:val="21"/>
        </w:rPr>
        <w:t>可在国内研修MBA等高端学位</w:t>
      </w: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随着全球经济环境的日趋活跃，拥有一项资格证书来证明您有足够的信心和能力面对这些挑战和机遇显得愈来愈重要。作为国际化教育的领导者，ACCA和牛津布鲁克斯大学针对ACCA会员合作开发了MBA课程。经MBA协会认可，该课程提供了完成MBA学位的灵活途径。</w:t>
      </w:r>
    </w:p>
    <w:p w:rsidR="00563A4D" w:rsidRPr="00563A4D" w:rsidRDefault="00563A4D" w:rsidP="00563A4D">
      <w:pPr>
        <w:widowControl/>
        <w:shd w:val="clear" w:color="auto" w:fill="FFFFFF"/>
        <w:wordWrap w:val="0"/>
        <w:spacing w:line="480" w:lineRule="atLeast"/>
        <w:ind w:left="204" w:firstLine="480"/>
        <w:jc w:val="left"/>
        <w:rPr>
          <w:rFonts w:asciiTheme="minorEastAsia" w:hAnsiTheme="minorEastAsia" w:cs="宋体"/>
          <w:color w:val="333333"/>
          <w:kern w:val="0"/>
          <w:szCs w:val="21"/>
        </w:rPr>
      </w:pPr>
      <w:r w:rsidRPr="00563A4D">
        <w:rPr>
          <w:rFonts w:asciiTheme="minorEastAsia" w:hAnsiTheme="minorEastAsia" w:cs="宋体"/>
          <w:color w:val="333333"/>
          <w:kern w:val="0"/>
          <w:szCs w:val="21"/>
        </w:rPr>
        <w:t>作为一项被远程教育所支持的课程，该项目具有全球视野，这意味着您可以通过和众多国际学生一起学习和交流来提高对全球商业环境的认识和理解</w:t>
      </w:r>
    </w:p>
    <w:p w:rsidR="00FA55DD" w:rsidRPr="00563A4D" w:rsidRDefault="00FA55DD">
      <w:pPr>
        <w:rPr>
          <w:rFonts w:asciiTheme="minorEastAsia" w:hAnsiTheme="minorEastAsia"/>
          <w:szCs w:val="21"/>
        </w:rPr>
      </w:pPr>
    </w:p>
    <w:sectPr w:rsidR="00FA55DD" w:rsidRPr="00563A4D" w:rsidSect="001163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B0" w:rsidRDefault="001C4FB0" w:rsidP="00563A4D">
      <w:r>
        <w:separator/>
      </w:r>
    </w:p>
  </w:endnote>
  <w:endnote w:type="continuationSeparator" w:id="1">
    <w:p w:rsidR="001C4FB0" w:rsidRDefault="001C4FB0" w:rsidP="00563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B0" w:rsidRDefault="001C4FB0" w:rsidP="00563A4D">
      <w:r>
        <w:separator/>
      </w:r>
    </w:p>
  </w:footnote>
  <w:footnote w:type="continuationSeparator" w:id="1">
    <w:p w:rsidR="001C4FB0" w:rsidRDefault="001C4FB0" w:rsidP="00563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A4D"/>
    <w:rsid w:val="0011631A"/>
    <w:rsid w:val="001C4FB0"/>
    <w:rsid w:val="0040577D"/>
    <w:rsid w:val="00563A4D"/>
    <w:rsid w:val="006E7C7D"/>
    <w:rsid w:val="00DC7150"/>
    <w:rsid w:val="00FA5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1A"/>
    <w:pPr>
      <w:widowControl w:val="0"/>
      <w:jc w:val="both"/>
    </w:pPr>
  </w:style>
  <w:style w:type="paragraph" w:styleId="2">
    <w:name w:val="heading 2"/>
    <w:basedOn w:val="a"/>
    <w:link w:val="2Char"/>
    <w:uiPriority w:val="9"/>
    <w:qFormat/>
    <w:rsid w:val="00563A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3A4D"/>
    <w:rPr>
      <w:sz w:val="18"/>
      <w:szCs w:val="18"/>
    </w:rPr>
  </w:style>
  <w:style w:type="paragraph" w:styleId="a4">
    <w:name w:val="footer"/>
    <w:basedOn w:val="a"/>
    <w:link w:val="Char0"/>
    <w:uiPriority w:val="99"/>
    <w:semiHidden/>
    <w:unhideWhenUsed/>
    <w:rsid w:val="00563A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3A4D"/>
    <w:rPr>
      <w:sz w:val="18"/>
      <w:szCs w:val="18"/>
    </w:rPr>
  </w:style>
  <w:style w:type="character" w:customStyle="1" w:styleId="2Char">
    <w:name w:val="标题 2 Char"/>
    <w:basedOn w:val="a0"/>
    <w:link w:val="2"/>
    <w:uiPriority w:val="9"/>
    <w:rsid w:val="00563A4D"/>
    <w:rPr>
      <w:rFonts w:ascii="宋体" w:eastAsia="宋体" w:hAnsi="宋体" w:cs="宋体"/>
      <w:b/>
      <w:bCs/>
      <w:kern w:val="0"/>
      <w:sz w:val="36"/>
      <w:szCs w:val="36"/>
    </w:rPr>
  </w:style>
  <w:style w:type="paragraph" w:customStyle="1" w:styleId="newbrp01">
    <w:name w:val="new_brp01"/>
    <w:basedOn w:val="a"/>
    <w:rsid w:val="00563A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63A4D"/>
    <w:rPr>
      <w:b/>
      <w:bCs/>
    </w:rPr>
  </w:style>
  <w:style w:type="character" w:customStyle="1" w:styleId="apple-converted-space">
    <w:name w:val="apple-converted-space"/>
    <w:basedOn w:val="a0"/>
    <w:rsid w:val="00563A4D"/>
  </w:style>
  <w:style w:type="paragraph" w:styleId="a6">
    <w:name w:val="Balloon Text"/>
    <w:basedOn w:val="a"/>
    <w:link w:val="Char1"/>
    <w:uiPriority w:val="99"/>
    <w:semiHidden/>
    <w:unhideWhenUsed/>
    <w:rsid w:val="00563A4D"/>
    <w:rPr>
      <w:sz w:val="18"/>
      <w:szCs w:val="18"/>
    </w:rPr>
  </w:style>
  <w:style w:type="character" w:customStyle="1" w:styleId="Char1">
    <w:name w:val="批注框文本 Char"/>
    <w:basedOn w:val="a0"/>
    <w:link w:val="a6"/>
    <w:uiPriority w:val="99"/>
    <w:semiHidden/>
    <w:rsid w:val="00563A4D"/>
    <w:rPr>
      <w:sz w:val="18"/>
      <w:szCs w:val="18"/>
    </w:rPr>
  </w:style>
</w:styles>
</file>

<file path=word/webSettings.xml><?xml version="1.0" encoding="utf-8"?>
<w:webSettings xmlns:r="http://schemas.openxmlformats.org/officeDocument/2006/relationships" xmlns:w="http://schemas.openxmlformats.org/wordprocessingml/2006/main">
  <w:divs>
    <w:div w:id="1401905771">
      <w:bodyDiv w:val="1"/>
      <w:marLeft w:val="0"/>
      <w:marRight w:val="0"/>
      <w:marTop w:val="0"/>
      <w:marBottom w:val="0"/>
      <w:divBdr>
        <w:top w:val="none" w:sz="0" w:space="0" w:color="auto"/>
        <w:left w:val="none" w:sz="0" w:space="0" w:color="auto"/>
        <w:bottom w:val="none" w:sz="0" w:space="0" w:color="auto"/>
        <w:right w:val="none" w:sz="0" w:space="0" w:color="auto"/>
      </w:divBdr>
    </w:div>
    <w:div w:id="14946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cp:revision>
  <dcterms:created xsi:type="dcterms:W3CDTF">2014-06-17T04:17:00Z</dcterms:created>
  <dcterms:modified xsi:type="dcterms:W3CDTF">2014-06-17T08:01:00Z</dcterms:modified>
</cp:coreProperties>
</file>